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F" w:rsidRDefault="00291F1F" w:rsidP="00291F1F">
      <w:pPr>
        <w:widowControl/>
        <w:spacing w:beforeLines="0" w:afterLines="0"/>
        <w:jc w:val="both"/>
        <w:rPr>
          <w:rFonts w:hint="eastAsia"/>
        </w:rPr>
      </w:pPr>
      <w:r w:rsidRPr="00CF3572">
        <w:rPr>
          <w:rFonts w:hint="eastAsia"/>
        </w:rPr>
        <w:t>IFRS1</w:t>
      </w:r>
      <w:r w:rsidRPr="00CF3572">
        <w:rPr>
          <w:rFonts w:hint="eastAsia"/>
        </w:rPr>
        <w:t>選項與</w:t>
      </w:r>
      <w:r w:rsidRPr="00CF3572">
        <w:rPr>
          <w:rFonts w:hint="eastAsia"/>
        </w:rPr>
        <w:t>GAAP Difference</w:t>
      </w:r>
      <w:r w:rsidRPr="00CF3572">
        <w:rPr>
          <w:rFonts w:hint="eastAsia"/>
        </w:rPr>
        <w:t>主要影響</w:t>
      </w:r>
      <w:r>
        <w:rPr>
          <w:rFonts w:hint="eastAsia"/>
        </w:rPr>
        <w:t>項</w:t>
      </w:r>
      <w:r w:rsidRPr="00CF3572">
        <w:rPr>
          <w:rFonts w:hint="eastAsia"/>
        </w:rPr>
        <w:t>目暨產業別</w:t>
      </w:r>
    </w:p>
    <w:p w:rsidR="00291F1F" w:rsidRPr="006C5561" w:rsidRDefault="00291F1F" w:rsidP="00291F1F">
      <w:pPr>
        <w:widowControl/>
        <w:spacing w:beforeLines="0" w:afterLines="0" w:line="0" w:lineRule="atLeast"/>
        <w:jc w:val="both"/>
      </w:pPr>
      <w:r>
        <w:rPr>
          <w:rFonts w:ascii="新細明體" w:hAnsi="新細明體" w:hint="eastAsia"/>
          <w:szCs w:val="24"/>
        </w:rPr>
        <w:t xml:space="preserve">    </w:t>
      </w:r>
      <w:r w:rsidRPr="006C5561">
        <w:rPr>
          <w:rFonts w:hint="eastAsia"/>
        </w:rPr>
        <w:t>有</w:t>
      </w:r>
      <w:proofErr w:type="gramStart"/>
      <w:r w:rsidRPr="006C5561">
        <w:rPr>
          <w:rFonts w:hint="eastAsia"/>
        </w:rPr>
        <w:t>鑑</w:t>
      </w:r>
      <w:proofErr w:type="gramEnd"/>
      <w:r w:rsidRPr="006C5561">
        <w:rPr>
          <w:rFonts w:hint="eastAsia"/>
        </w:rPr>
        <w:t>於</w:t>
      </w:r>
      <w:r w:rsidRPr="006C5561">
        <w:rPr>
          <w:rFonts w:hint="eastAsia"/>
        </w:rPr>
        <w:t>IFRS</w:t>
      </w:r>
      <w:r>
        <w:rPr>
          <w:rFonts w:hint="eastAsia"/>
        </w:rPr>
        <w:t>s</w:t>
      </w:r>
      <w:r w:rsidRPr="006C5561">
        <w:rPr>
          <w:rFonts w:hint="eastAsia"/>
        </w:rPr>
        <w:t>與</w:t>
      </w:r>
      <w:r w:rsidRPr="006C5561">
        <w:rPr>
          <w:rFonts w:hint="eastAsia"/>
        </w:rPr>
        <w:t>ROC GAAP</w:t>
      </w:r>
      <w:r w:rsidRPr="006C5561">
        <w:rPr>
          <w:rFonts w:hint="eastAsia"/>
        </w:rPr>
        <w:t>差異（以下簡稱「</w:t>
      </w:r>
      <w:r w:rsidRPr="006C5561">
        <w:t>GAAP</w:t>
      </w:r>
      <w:r w:rsidRPr="006C5561">
        <w:rPr>
          <w:rFonts w:hint="eastAsia"/>
        </w:rPr>
        <w:t>差異」）及</w:t>
      </w:r>
      <w:r w:rsidRPr="006C5561">
        <w:t>IFRS 1</w:t>
      </w:r>
      <w:r w:rsidRPr="006C5561">
        <w:rPr>
          <w:rFonts w:hint="eastAsia"/>
        </w:rPr>
        <w:t>對轉換至</w:t>
      </w:r>
      <w:r w:rsidRPr="006C5561">
        <w:t>IFRS</w:t>
      </w:r>
      <w:r>
        <w:rPr>
          <w:rFonts w:hint="eastAsia"/>
        </w:rPr>
        <w:t>s</w:t>
      </w:r>
      <w:r w:rsidRPr="006C5561">
        <w:rPr>
          <w:rFonts w:hint="eastAsia"/>
        </w:rPr>
        <w:t>日（</w:t>
      </w:r>
      <w:r w:rsidRPr="006C5561">
        <w:t>101</w:t>
      </w:r>
      <w:r w:rsidRPr="006C5561">
        <w:rPr>
          <w:rFonts w:hint="eastAsia"/>
        </w:rPr>
        <w:t>年</w:t>
      </w:r>
      <w:r w:rsidRPr="006C5561">
        <w:t>1</w:t>
      </w:r>
      <w:r w:rsidRPr="006C5561">
        <w:rPr>
          <w:rFonts w:hint="eastAsia"/>
        </w:rPr>
        <w:t>月</w:t>
      </w:r>
      <w:r w:rsidRPr="006C5561">
        <w:t>1</w:t>
      </w:r>
      <w:r w:rsidRPr="006C5561">
        <w:rPr>
          <w:rFonts w:hint="eastAsia"/>
        </w:rPr>
        <w:t>日）</w:t>
      </w:r>
      <w:proofErr w:type="gramStart"/>
      <w:r w:rsidRPr="006C5561">
        <w:rPr>
          <w:rFonts w:hint="eastAsia"/>
        </w:rPr>
        <w:t>開帳</w:t>
      </w:r>
      <w:proofErr w:type="gramEnd"/>
      <w:r w:rsidRPr="006C5561">
        <w:rPr>
          <w:rFonts w:hint="eastAsia"/>
        </w:rPr>
        <w:t>數的影響互相</w:t>
      </w:r>
      <w:proofErr w:type="gramStart"/>
      <w:r w:rsidRPr="006C5561">
        <w:rPr>
          <w:rFonts w:hint="eastAsia"/>
        </w:rPr>
        <w:t>攸</w:t>
      </w:r>
      <w:proofErr w:type="gramEnd"/>
      <w:r w:rsidRPr="006C5561">
        <w:rPr>
          <w:rFonts w:hint="eastAsia"/>
        </w:rPr>
        <w:t>關，</w:t>
      </w:r>
      <w:r>
        <w:rPr>
          <w:rFonts w:hint="eastAsia"/>
        </w:rPr>
        <w:t>對於會員機構於財務比率變化之分析上亦有幫助，</w:t>
      </w:r>
      <w:r w:rsidRPr="006C5561">
        <w:rPr>
          <w:rFonts w:hint="eastAsia"/>
        </w:rPr>
        <w:t>故將</w:t>
      </w:r>
      <w:r w:rsidRPr="006C5561">
        <w:t>GAAP</w:t>
      </w:r>
      <w:r w:rsidRPr="006C5561">
        <w:rPr>
          <w:rFonts w:hint="eastAsia"/>
        </w:rPr>
        <w:t>差異及相關議題之</w:t>
      </w:r>
      <w:r w:rsidRPr="006C5561">
        <w:t>IFRS 1</w:t>
      </w:r>
      <w:r w:rsidRPr="006C5561">
        <w:rPr>
          <w:rFonts w:hint="eastAsia"/>
        </w:rPr>
        <w:t>選項一併列示，以利分析各公司</w:t>
      </w:r>
      <w:proofErr w:type="gramStart"/>
      <w:r w:rsidRPr="006C5561">
        <w:rPr>
          <w:rFonts w:hint="eastAsia"/>
        </w:rPr>
        <w:t>開帳</w:t>
      </w:r>
      <w:proofErr w:type="gramEnd"/>
      <w:r w:rsidRPr="006C5561">
        <w:rPr>
          <w:rFonts w:hint="eastAsia"/>
        </w:rPr>
        <w:t>數調節之影響原因。</w:t>
      </w:r>
    </w:p>
    <w:p w:rsidR="00291F1F" w:rsidRPr="006C5561" w:rsidRDefault="00291F1F" w:rsidP="00291F1F">
      <w:pPr>
        <w:widowControl/>
        <w:spacing w:beforeLines="0" w:afterLines="0" w:line="0" w:lineRule="atLeast"/>
        <w:jc w:val="both"/>
        <w:rPr>
          <w:rFonts w:hint="eastAsia"/>
        </w:rPr>
      </w:pPr>
      <w:r w:rsidRPr="006C5561">
        <w:rPr>
          <w:rFonts w:hint="eastAsia"/>
        </w:rPr>
        <w:t xml:space="preserve">    </w:t>
      </w:r>
      <w:r w:rsidRPr="006C5561">
        <w:rPr>
          <w:rFonts w:hint="eastAsia"/>
        </w:rPr>
        <w:t>考量</w:t>
      </w:r>
      <w:r w:rsidRPr="006C5561">
        <w:t>GAAP</w:t>
      </w:r>
      <w:r w:rsidRPr="006C5561">
        <w:rPr>
          <w:rFonts w:hint="eastAsia"/>
        </w:rPr>
        <w:t>差異原因</w:t>
      </w:r>
      <w:proofErr w:type="gramStart"/>
      <w:r w:rsidRPr="006C5561">
        <w:rPr>
          <w:rFonts w:hint="eastAsia"/>
        </w:rPr>
        <w:t>眾多，</w:t>
      </w:r>
      <w:proofErr w:type="gramEnd"/>
      <w:r w:rsidRPr="006C5561">
        <w:rPr>
          <w:rFonts w:hint="eastAsia"/>
        </w:rPr>
        <w:t>以下內容係選擇具可比較性的</w:t>
      </w:r>
      <w:r w:rsidRPr="006C5561">
        <w:t>GAAP</w:t>
      </w:r>
      <w:r w:rsidRPr="006C5561">
        <w:rPr>
          <w:rFonts w:hint="eastAsia"/>
        </w:rPr>
        <w:t>差異</w:t>
      </w:r>
      <w:r w:rsidRPr="006C5561">
        <w:t>/IFRS 1</w:t>
      </w:r>
      <w:r w:rsidRPr="006C5561">
        <w:rPr>
          <w:rFonts w:hint="eastAsia"/>
        </w:rPr>
        <w:t>選項，排除屬個別公司可能產生之獨特</w:t>
      </w:r>
      <w:r w:rsidRPr="006C5561">
        <w:t>GAAP</w:t>
      </w:r>
      <w:r w:rsidRPr="006C5561">
        <w:rPr>
          <w:rFonts w:hint="eastAsia"/>
        </w:rPr>
        <w:t>差異。為利於資訊彙總，故於各項</w:t>
      </w:r>
      <w:r w:rsidRPr="006C5561">
        <w:rPr>
          <w:rFonts w:hint="eastAsia"/>
        </w:rPr>
        <w:t>GAAP</w:t>
      </w:r>
      <w:r w:rsidRPr="006C5561">
        <w:rPr>
          <w:rFonts w:hint="eastAsia"/>
        </w:rPr>
        <w:t>差異</w:t>
      </w:r>
      <w:r w:rsidRPr="006C5561">
        <w:t>/IFRS 1</w:t>
      </w:r>
      <w:r w:rsidRPr="006C5561">
        <w:rPr>
          <w:rFonts w:hint="eastAsia"/>
        </w:rPr>
        <w:t>選項中說明其可能適用之產業別。</w:t>
      </w:r>
    </w:p>
    <w:p w:rsidR="00291F1F" w:rsidRPr="006C5561" w:rsidRDefault="00291F1F" w:rsidP="00291F1F">
      <w:pPr>
        <w:widowControl/>
        <w:spacing w:beforeLines="0" w:afterLines="0" w:line="0" w:lineRule="atLeast"/>
        <w:jc w:val="both"/>
        <w:rPr>
          <w:rFonts w:hint="eastAsia"/>
        </w:rPr>
      </w:pPr>
      <w:r w:rsidRPr="006C5561">
        <w:rPr>
          <w:rFonts w:hint="eastAsia"/>
        </w:rPr>
        <w:t xml:space="preserve">    </w:t>
      </w:r>
      <w:r w:rsidRPr="006C5561">
        <w:rPr>
          <w:rFonts w:hint="eastAsia"/>
        </w:rPr>
        <w:t>本項內容並非代表所有</w:t>
      </w:r>
      <w:r w:rsidRPr="006C5561">
        <w:t>GAAP</w:t>
      </w:r>
      <w:r w:rsidRPr="006C5561">
        <w:rPr>
          <w:rFonts w:hint="eastAsia"/>
        </w:rPr>
        <w:t>差異</w:t>
      </w:r>
      <w:r w:rsidRPr="006C5561">
        <w:t>/IFRS 1</w:t>
      </w:r>
      <w:r w:rsidRPr="006C5561">
        <w:rPr>
          <w:rFonts w:hint="eastAsia"/>
        </w:rPr>
        <w:t>選項，亦未代表所有</w:t>
      </w:r>
      <w:r>
        <w:rPr>
          <w:rFonts w:hint="eastAsia"/>
        </w:rPr>
        <w:t>影響項目及</w:t>
      </w:r>
      <w:r w:rsidRPr="006C5561">
        <w:rPr>
          <w:rFonts w:hint="eastAsia"/>
        </w:rPr>
        <w:t>產業，請使用者酌予參考：</w:t>
      </w:r>
    </w:p>
    <w:tbl>
      <w:tblPr>
        <w:tblW w:w="9640" w:type="dxa"/>
        <w:tblInd w:w="-681" w:type="dxa"/>
        <w:tblCellMar>
          <w:left w:w="28" w:type="dxa"/>
          <w:right w:w="28" w:type="dxa"/>
        </w:tblCellMar>
        <w:tblLook w:val="04A0"/>
      </w:tblPr>
      <w:tblGrid>
        <w:gridCol w:w="1276"/>
        <w:gridCol w:w="1701"/>
        <w:gridCol w:w="2552"/>
        <w:gridCol w:w="2410"/>
        <w:gridCol w:w="1701"/>
      </w:tblGrid>
      <w:tr w:rsidR="00291F1F" w:rsidRPr="00FC4073" w:rsidTr="005C209D">
        <w:trPr>
          <w:trHeight w:val="31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1121"/>
                <w:tab w:val="left" w:pos="1213"/>
              </w:tabs>
              <w:spacing w:before="180" w:after="180"/>
              <w:ind w:rightChars="37" w:right="89"/>
              <w:jc w:val="center"/>
              <w:rPr>
                <w:rFonts w:ascii="新細明體" w:hAnsi="新細明體"/>
                <w:b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b/>
                <w:kern w:val="0"/>
                <w:szCs w:val="24"/>
              </w:rPr>
              <w:t>主要影響產業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center"/>
              <w:rPr>
                <w:rFonts w:ascii="新細明體" w:hAnsi="新細明體"/>
                <w:b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b/>
                <w:kern w:val="0"/>
                <w:szCs w:val="24"/>
              </w:rPr>
              <w:t>主要GAAP差異</w:t>
            </w:r>
            <w:r w:rsidRPr="00FC4073">
              <w:rPr>
                <w:rFonts w:ascii="新細明體" w:hAnsi="新細明體"/>
                <w:b/>
                <w:kern w:val="0"/>
                <w:szCs w:val="24"/>
              </w:rPr>
              <w:t>/IFRS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leftChars="-13" w:left="-31" w:rightChars="47" w:right="113"/>
              <w:jc w:val="center"/>
              <w:rPr>
                <w:rFonts w:ascii="新細明體" w:hAnsi="新細明體"/>
                <w:b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b/>
                <w:kern w:val="0"/>
                <w:szCs w:val="24"/>
              </w:rPr>
              <w:t>主要影響</w:t>
            </w:r>
            <w:r>
              <w:rPr>
                <w:rFonts w:ascii="新細明體" w:hAnsi="新細明體" w:hint="eastAsia"/>
                <w:b/>
                <w:kern w:val="0"/>
                <w:szCs w:val="24"/>
              </w:rPr>
              <w:t>項目</w:t>
            </w:r>
            <w:r w:rsidRPr="00FC4073">
              <w:rPr>
                <w:rFonts w:ascii="新細明體" w:hAnsi="新細明體"/>
                <w:b/>
                <w:kern w:val="0"/>
                <w:szCs w:val="24"/>
              </w:rPr>
              <w:t>-</w:t>
            </w:r>
            <w:r w:rsidRPr="00FC4073">
              <w:rPr>
                <w:rFonts w:ascii="新細明體" w:hAnsi="新細明體" w:hint="eastAsia"/>
                <w:b/>
                <w:kern w:val="0"/>
                <w:szCs w:val="24"/>
              </w:rPr>
              <w:t>資產負債表</w:t>
            </w:r>
            <w:r w:rsidRPr="00FC4073">
              <w:rPr>
                <w:rFonts w:ascii="新細明體" w:hAnsi="新細明體"/>
                <w:b/>
                <w:kern w:val="0"/>
                <w:szCs w:val="24"/>
              </w:rPr>
              <w:t>(IFRS</w:t>
            </w:r>
            <w:r>
              <w:rPr>
                <w:rFonts w:ascii="新細明體" w:hAnsi="新細明體" w:hint="eastAsia"/>
                <w:b/>
                <w:kern w:val="0"/>
                <w:szCs w:val="24"/>
              </w:rPr>
              <w:t>s</w:t>
            </w:r>
            <w:r w:rsidRPr="00FC4073">
              <w:rPr>
                <w:rFonts w:ascii="新細明體" w:hAnsi="新細明體"/>
                <w:b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47" w:right="113"/>
              <w:jc w:val="center"/>
              <w:rPr>
                <w:rFonts w:ascii="新細明體" w:hAnsi="新細明體"/>
                <w:b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b/>
                <w:kern w:val="0"/>
                <w:szCs w:val="24"/>
              </w:rPr>
              <w:t>主要影響</w:t>
            </w:r>
            <w:r>
              <w:rPr>
                <w:rFonts w:ascii="新細明體" w:hAnsi="新細明體" w:hint="eastAsia"/>
                <w:b/>
                <w:kern w:val="0"/>
                <w:szCs w:val="24"/>
              </w:rPr>
              <w:t>項目</w:t>
            </w:r>
            <w:r w:rsidRPr="00FC4073">
              <w:rPr>
                <w:rFonts w:ascii="新細明體" w:hAnsi="新細明體"/>
                <w:b/>
                <w:kern w:val="0"/>
                <w:szCs w:val="24"/>
              </w:rPr>
              <w:t>-</w:t>
            </w:r>
            <w:r w:rsidRPr="00FC4073">
              <w:rPr>
                <w:rFonts w:ascii="新細明體" w:hAnsi="新細明體" w:hint="eastAsia"/>
                <w:b/>
                <w:kern w:val="0"/>
                <w:szCs w:val="24"/>
              </w:rPr>
              <w:t>綜合損益表</w:t>
            </w:r>
            <w:r w:rsidRPr="00FC4073">
              <w:rPr>
                <w:rFonts w:ascii="新細明體" w:hAnsi="新細明體"/>
                <w:b/>
                <w:kern w:val="0"/>
                <w:szCs w:val="24"/>
              </w:rPr>
              <w:t>(IFRS</w:t>
            </w:r>
            <w:r>
              <w:rPr>
                <w:rFonts w:ascii="新細明體" w:hAnsi="新細明體" w:hint="eastAsia"/>
                <w:b/>
                <w:kern w:val="0"/>
                <w:szCs w:val="24"/>
              </w:rPr>
              <w:t>s</w:t>
            </w:r>
            <w:r w:rsidRPr="00FC4073">
              <w:rPr>
                <w:rFonts w:ascii="新細明體" w:hAnsi="新細明體"/>
                <w:b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47" w:right="113"/>
              <w:jc w:val="center"/>
              <w:rPr>
                <w:rFonts w:ascii="新細明體" w:hAnsi="新細明體"/>
                <w:b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b/>
                <w:kern w:val="0"/>
                <w:szCs w:val="24"/>
              </w:rPr>
              <w:t>備註</w:t>
            </w:r>
          </w:p>
        </w:tc>
      </w:tr>
      <w:tr w:rsidR="00291F1F" w:rsidRPr="00FC4073" w:rsidTr="005C209D">
        <w:trPr>
          <w:trHeight w:val="2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員工福利</w:t>
            </w:r>
            <w:r w:rsidRPr="00FC4073">
              <w:rPr>
                <w:rFonts w:ascii="新細明體" w:hAnsi="新細明體"/>
                <w:kern w:val="0"/>
                <w:szCs w:val="24"/>
              </w:rPr>
              <w:t>-</w:t>
            </w:r>
            <w:r w:rsidRPr="00FC4073">
              <w:rPr>
                <w:rFonts w:ascii="新細明體" w:hAnsi="新細明體" w:hint="eastAsia"/>
                <w:kern w:val="0"/>
                <w:szCs w:val="24"/>
              </w:rPr>
              <w:t>退休金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預付退休金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應計退休金負債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遞延退休金成本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未認列為退休金成本之淨損失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遞延所得稅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非控制權益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textAlignment w:val="top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textAlignment w:val="top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推銷費用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管理費用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研發費用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其他綜合損益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1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員工福利</w:t>
            </w:r>
            <w:r w:rsidRPr="00FC4073">
              <w:rPr>
                <w:rFonts w:ascii="新細明體" w:hAnsi="新細明體"/>
                <w:kern w:val="0"/>
                <w:szCs w:val="24"/>
              </w:rPr>
              <w:t>-</w:t>
            </w:r>
            <w:r w:rsidRPr="00FC4073">
              <w:rPr>
                <w:rFonts w:ascii="新細明體" w:hAnsi="新細明體" w:hint="eastAsia"/>
                <w:kern w:val="0"/>
                <w:szCs w:val="24"/>
              </w:rPr>
              <w:t>短期可累積</w:t>
            </w:r>
            <w:proofErr w:type="gramStart"/>
            <w:r w:rsidRPr="00FC4073">
              <w:rPr>
                <w:rFonts w:ascii="新細明體" w:hAnsi="新細明體" w:hint="eastAsia"/>
                <w:kern w:val="0"/>
                <w:szCs w:val="24"/>
              </w:rPr>
              <w:t>帶薪假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應付費用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其他應付款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遞延所得稅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非控制權益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推銷費用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管理費用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研發費用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5" w:left="108"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18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農、林、漁、牧業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生物資產及農產品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生物資產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農產品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存貨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不動產、廠房及設備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遞延所得稅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5" w:left="108"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6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投資性不動產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不動產、廠房及設備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lastRenderedPageBreak/>
              <w:t>投資性不動產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遞延所得稅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非控制權益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lastRenderedPageBreak/>
              <w:t>營業成本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推銷費用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lastRenderedPageBreak/>
              <w:t>管理費用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研發費用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lastRenderedPageBreak/>
              <w:t>對不動產業及金融保險</w:t>
            </w:r>
            <w:r w:rsidRPr="00FC4073">
              <w:rPr>
                <w:rFonts w:ascii="新細明體" w:hAnsi="新細明體"/>
                <w:kern w:val="0"/>
                <w:szCs w:val="24"/>
              </w:rPr>
              <w:lastRenderedPageBreak/>
              <w:t>業 影響尤其重大</w:t>
            </w:r>
          </w:p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lastRenderedPageBreak/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存款期間超過</w:t>
            </w:r>
            <w:r w:rsidRPr="00FC4073">
              <w:rPr>
                <w:rFonts w:ascii="新細明體" w:hAnsi="新細明體"/>
                <w:kern w:val="0"/>
                <w:szCs w:val="24"/>
              </w:rPr>
              <w:t>3</w:t>
            </w:r>
            <w:r w:rsidRPr="00FC4073">
              <w:rPr>
                <w:rFonts w:ascii="新細明體" w:hAnsi="新細明體" w:hint="eastAsia"/>
                <w:kern w:val="0"/>
                <w:szCs w:val="24"/>
              </w:rPr>
              <w:t>個月以上之定期存款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現金及約當現金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無活絡市債券投資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其他應收款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其他金融資產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不動產業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不動產工程協議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在建房地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存貨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營業收入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主要影響營建業</w:t>
            </w:r>
          </w:p>
        </w:tc>
      </w:tr>
      <w:tr w:rsidR="00291F1F" w:rsidRPr="00FC4073" w:rsidTr="005C209D">
        <w:trPr>
          <w:trHeight w:val="2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服務特許權合約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其他金融資產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其他應收款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不動產、廠房及設備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無形資產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遞延所得稅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非控制權益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營業收入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與政府簽訂</w:t>
            </w:r>
            <w:r w:rsidRPr="00FC4073">
              <w:rPr>
                <w:rFonts w:ascii="新細明體" w:hAnsi="新細明體"/>
                <w:kern w:val="0"/>
                <w:szCs w:val="24"/>
              </w:rPr>
              <w:t>BOT</w:t>
            </w:r>
            <w:r w:rsidRPr="00FC4073">
              <w:rPr>
                <w:rFonts w:ascii="新細明體" w:hAnsi="新細明體" w:hint="eastAsia"/>
                <w:kern w:val="0"/>
                <w:szCs w:val="24"/>
              </w:rPr>
              <w:t>合約者</w:t>
            </w:r>
          </w:p>
        </w:tc>
      </w:tr>
      <w:tr w:rsidR="00291F1F" w:rsidRPr="00FC4073" w:rsidTr="005C209D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批發及零售業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收入認列－總額及淨額之判斷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營業收入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對百貨、通路商影響較大</w:t>
            </w:r>
          </w:p>
        </w:tc>
      </w:tr>
      <w:tr w:rsidR="00291F1F" w:rsidRPr="00FC4073" w:rsidTr="005C209D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客戶忠誠計畫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遞延收入/預</w:t>
            </w:r>
            <w:proofErr w:type="gramStart"/>
            <w:r w:rsidRPr="00FC4073">
              <w:rPr>
                <w:rFonts w:ascii="新細明體" w:hAnsi="新細明體" w:hint="eastAsia"/>
                <w:szCs w:val="24"/>
              </w:rPr>
              <w:t>收</w:t>
            </w:r>
            <w:proofErr w:type="gramEnd"/>
            <w:r w:rsidRPr="00FC4073">
              <w:rPr>
                <w:rFonts w:ascii="新細明體" w:hAnsi="新細明體" w:hint="eastAsia"/>
                <w:szCs w:val="24"/>
              </w:rPr>
              <w:t>收入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遞延所得稅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非控制權益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營業收入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推銷費用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18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lastRenderedPageBreak/>
              <w:t>電力及燃氣供應業</w:t>
            </w:r>
            <w:r w:rsidRPr="00FC4073">
              <w:rPr>
                <w:rFonts w:ascii="新細明體" w:hAnsi="新細明體"/>
                <w:kern w:val="0"/>
                <w:szCs w:val="24"/>
              </w:rPr>
              <w:br/>
            </w:r>
            <w:r w:rsidRPr="00FC4073">
              <w:rPr>
                <w:rFonts w:ascii="新細明體" w:hAnsi="新細明體" w:hint="eastAsia"/>
                <w:kern w:val="0"/>
                <w:szCs w:val="24"/>
              </w:rPr>
              <w:t>、用水供應及污染整治業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自客戶之資產移轉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不動產、廠房及設備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遞延所得稅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長期負債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營業收入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營業成本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9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proofErr w:type="gramStart"/>
            <w:r w:rsidRPr="00FC4073">
              <w:rPr>
                <w:rFonts w:ascii="新細明體" w:hAnsi="新細明體" w:hint="eastAsia"/>
                <w:kern w:val="0"/>
                <w:szCs w:val="24"/>
              </w:rPr>
              <w:t>採</w:t>
            </w:r>
            <w:proofErr w:type="gramEnd"/>
            <w:r w:rsidRPr="00FC4073">
              <w:rPr>
                <w:rFonts w:ascii="新細明體" w:hAnsi="新細明體" w:hint="eastAsia"/>
                <w:kern w:val="0"/>
                <w:szCs w:val="24"/>
              </w:rPr>
              <w:t>權益法之長期投資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採用權益法之關聯企業及合資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遞延所得稅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累積換算差異數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資本公積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採用權益法之關聯企業及合資損益之份額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其他綜合損益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18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以成本衡量之金融資產</w:t>
            </w:r>
            <w:r w:rsidRPr="00FC4073">
              <w:rPr>
                <w:rFonts w:ascii="新細明體" w:hAnsi="新細明體"/>
                <w:kern w:val="0"/>
                <w:szCs w:val="24"/>
              </w:rPr>
              <w:t>/</w:t>
            </w:r>
            <w:proofErr w:type="gramStart"/>
            <w:r w:rsidRPr="00FC4073">
              <w:rPr>
                <w:rFonts w:ascii="新細明體" w:hAnsi="新細明體" w:hint="eastAsia"/>
                <w:kern w:val="0"/>
                <w:szCs w:val="24"/>
              </w:rPr>
              <w:t>投資興櫃及</w:t>
            </w:r>
            <w:proofErr w:type="gramEnd"/>
            <w:r w:rsidRPr="00FC4073">
              <w:rPr>
                <w:rFonts w:ascii="新細明體" w:hAnsi="新細明體" w:hint="eastAsia"/>
                <w:kern w:val="0"/>
                <w:szCs w:val="24"/>
              </w:rPr>
              <w:t>未上市櫃公司股票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以成本衡量之金融資產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備供出售金融資產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透過損益按公允價值衡量之金融資產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其他權益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其他利益及損失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所得稅費用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其他綜合損益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291F1F" w:rsidRPr="00FC4073" w:rsidTr="005C209D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/>
                <w:kern w:val="0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1F" w:rsidRPr="00FC4073" w:rsidRDefault="00291F1F" w:rsidP="00291F1F">
            <w:pPr>
              <w:widowControl/>
              <w:spacing w:before="180" w:after="180"/>
              <w:ind w:rightChars="37" w:right="89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FC4073">
              <w:rPr>
                <w:rFonts w:ascii="新細明體" w:hAnsi="新細明體" w:hint="eastAsia"/>
                <w:kern w:val="0"/>
                <w:szCs w:val="24"/>
              </w:rPr>
              <w:t>對子公司權益之變動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資本公積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保留盈餘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 w:hint="eastAsia"/>
                <w:szCs w:val="24"/>
              </w:rPr>
              <w:t>營業外收益</w:t>
            </w:r>
          </w:p>
          <w:p w:rsidR="00291F1F" w:rsidRPr="00FC4073" w:rsidRDefault="00291F1F" w:rsidP="00291F1F">
            <w:pPr>
              <w:pStyle w:val="a3"/>
              <w:widowControl/>
              <w:numPr>
                <w:ilvl w:val="0"/>
                <w:numId w:val="1"/>
              </w:numPr>
              <w:spacing w:beforeLines="0" w:afterLines="0"/>
              <w:ind w:leftChars="47" w:left="355" w:rightChars="47" w:right="113" w:hangingChars="101" w:hanging="242"/>
              <w:rPr>
                <w:rFonts w:ascii="新細明體" w:hAnsi="新細明體"/>
                <w:szCs w:val="24"/>
              </w:rPr>
            </w:pPr>
            <w:r w:rsidRPr="00FC4073">
              <w:rPr>
                <w:rFonts w:ascii="新細明體" w:hAnsi="新細明體"/>
                <w:szCs w:val="24"/>
              </w:rPr>
              <w:t>[</w:t>
            </w:r>
            <w:r w:rsidRPr="00FC4073">
              <w:rPr>
                <w:rFonts w:ascii="新細明體" w:hAnsi="新細明體" w:hint="eastAsia"/>
                <w:szCs w:val="24"/>
              </w:rPr>
              <w:t>其他</w:t>
            </w:r>
            <w:r w:rsidRPr="00FC4073">
              <w:rPr>
                <w:rFonts w:ascii="新細明體" w:hAnsi="新細明體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1F" w:rsidRPr="00FC4073" w:rsidRDefault="00291F1F" w:rsidP="00291F1F">
            <w:pPr>
              <w:widowControl/>
              <w:tabs>
                <w:tab w:val="left" w:pos="980"/>
              </w:tabs>
              <w:spacing w:before="180" w:after="180"/>
              <w:ind w:leftChars="47" w:left="113" w:rightChars="47" w:right="113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291F1F" w:rsidRDefault="00291F1F" w:rsidP="00291F1F">
      <w:pPr>
        <w:widowControl/>
        <w:spacing w:beforeLines="0" w:afterLines="0" w:line="0" w:lineRule="atLeast"/>
        <w:jc w:val="both"/>
        <w:rPr>
          <w:rFonts w:ascii="新細明體" w:hAnsi="新細明體" w:hint="eastAsia"/>
          <w:szCs w:val="24"/>
        </w:rPr>
      </w:pPr>
    </w:p>
    <w:p w:rsidR="00C146D0" w:rsidRDefault="00C146D0" w:rsidP="00C15D6F">
      <w:pPr>
        <w:spacing w:before="180" w:after="180"/>
      </w:pPr>
    </w:p>
    <w:sectPr w:rsidR="00C146D0" w:rsidSect="00C14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154"/>
    <w:multiLevelType w:val="hybridMultilevel"/>
    <w:tmpl w:val="B964D132"/>
    <w:lvl w:ilvl="0" w:tplc="3D985ABA">
      <w:start w:val="1"/>
      <w:numFmt w:val="bullet"/>
      <w:lvlText w:val=""/>
      <w:lvlJc w:val="left"/>
      <w:pPr>
        <w:ind w:left="792" w:hanging="48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6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F1F"/>
    <w:rsid w:val="00291F1F"/>
    <w:rsid w:val="007314B1"/>
    <w:rsid w:val="007A7948"/>
    <w:rsid w:val="00AB7BE8"/>
    <w:rsid w:val="00C146D0"/>
    <w:rsid w:val="00C1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F1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291F1F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2015-08-19T08:05:00Z</dcterms:created>
  <dcterms:modified xsi:type="dcterms:W3CDTF">2015-08-19T08:08:00Z</dcterms:modified>
</cp:coreProperties>
</file>